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A72B3" w14:textId="77777777" w:rsidR="00E31946" w:rsidRDefault="00E31946" w:rsidP="00E31946">
      <w:pPr>
        <w:jc w:val="right"/>
      </w:pPr>
      <w:r>
        <w:rPr>
          <w:b/>
          <w:bCs/>
        </w:rPr>
        <w:t>Policy: 3417</w:t>
      </w:r>
      <w:r>
        <w:rPr>
          <w:b/>
          <w:bCs/>
        </w:rPr>
        <w:br/>
        <w:t>Section: 3000 - Students</w:t>
      </w:r>
    </w:p>
    <w:p w14:paraId="003EF4EE" w14:textId="77777777" w:rsidR="00E31946" w:rsidRDefault="002D11CC" w:rsidP="00E31946">
      <w:pPr>
        <w:rPr>
          <w:rFonts w:ascii="Times New Roman" w:eastAsia="Times New Roman" w:hAnsi="Times New Roman"/>
          <w:szCs w:val="20"/>
        </w:rPr>
      </w:pPr>
      <w:r>
        <w:rPr>
          <w:rFonts w:ascii="Times New Roman" w:eastAsia="Times New Roman" w:hAnsi="Times New Roman"/>
          <w:szCs w:val="20"/>
        </w:rPr>
        <w:pict w14:anchorId="070FDE9A">
          <v:rect id="_x0000_i1025" style="width:0;height:1.5pt" o:hralign="center" o:hrstd="t" o:hr="t" fillcolor="#aaa" stroked="f"/>
        </w:pict>
      </w:r>
    </w:p>
    <w:p w14:paraId="0A46EEE9" w14:textId="77777777" w:rsidR="00E31946" w:rsidRDefault="00E31946" w:rsidP="00E31946">
      <w:pPr>
        <w:rPr>
          <w:rFonts w:ascii="Times New Roman" w:eastAsia="Times New Roman" w:hAnsi="Times New Roman"/>
          <w:szCs w:val="20"/>
        </w:rPr>
      </w:pPr>
    </w:p>
    <w:p w14:paraId="5E4806B5" w14:textId="77777777" w:rsidR="00E31946" w:rsidRDefault="00E31946" w:rsidP="00E31946">
      <w:pPr>
        <w:pStyle w:val="NormalWeb"/>
        <w:rPr>
          <w:sz w:val="32"/>
          <w:szCs w:val="32"/>
        </w:rPr>
      </w:pPr>
      <w:r>
        <w:rPr>
          <w:b/>
          <w:bCs/>
          <w:sz w:val="32"/>
          <w:szCs w:val="32"/>
        </w:rPr>
        <w:t>Catheterization</w:t>
      </w:r>
    </w:p>
    <w:p w14:paraId="0C364077" w14:textId="77777777" w:rsidR="00E31946" w:rsidRDefault="00E31946" w:rsidP="00E31946">
      <w:pPr>
        <w:rPr>
          <w:rFonts w:ascii="Times New Roman" w:eastAsia="Times New Roman" w:hAnsi="Times New Roman"/>
          <w:szCs w:val="20"/>
        </w:rPr>
      </w:pPr>
    </w:p>
    <w:p w14:paraId="1853BCF2" w14:textId="77777777" w:rsidR="00E31946" w:rsidRDefault="00E31946" w:rsidP="00E31946">
      <w:pPr>
        <w:pStyle w:val="NormalWeb"/>
      </w:pPr>
      <w:r>
        <w:rPr>
          <w:sz w:val="17"/>
          <w:szCs w:val="17"/>
        </w:rPr>
        <w:t>The board authorizes qualified staff to provide clean, intermittent bladder catheterization (CIC) of students or assisted self-catheterization according to rules adopted by the State Board of Nursing.</w:t>
      </w:r>
    </w:p>
    <w:p w14:paraId="5F844DBA" w14:textId="77777777" w:rsidR="00E31946" w:rsidRDefault="00E31946" w:rsidP="00E31946">
      <w:pPr>
        <w:pStyle w:val="NormalWeb"/>
      </w:pPr>
      <w:r>
        <w:t> </w:t>
      </w:r>
    </w:p>
    <w:p w14:paraId="71A6D326" w14:textId="77777777" w:rsidR="00E31946" w:rsidRDefault="00E31946" w:rsidP="00E31946">
      <w:pPr>
        <w:pStyle w:val="NormalWeb"/>
      </w:pPr>
      <w:r>
        <w:rPr>
          <w:sz w:val="17"/>
          <w:szCs w:val="17"/>
        </w:rPr>
        <w:t>Catheterization is authorized under the following conditions:</w:t>
      </w:r>
    </w:p>
    <w:p w14:paraId="27FF5F4E" w14:textId="77777777" w:rsidR="00E31946" w:rsidRDefault="00E31946" w:rsidP="00E31946">
      <w:pPr>
        <w:pStyle w:val="NormalWeb"/>
      </w:pPr>
      <w:r>
        <w:t> </w:t>
      </w:r>
    </w:p>
    <w:p w14:paraId="0AF7E89D" w14:textId="77777777" w:rsidR="00E31946" w:rsidRDefault="00E31946" w:rsidP="00E31946">
      <w:pPr>
        <w:numPr>
          <w:ilvl w:val="0"/>
          <w:numId w:val="1"/>
        </w:numPr>
      </w:pPr>
      <w:r>
        <w:rPr>
          <w:sz w:val="17"/>
          <w:szCs w:val="17"/>
        </w:rPr>
        <w:t>A parent, legal guardian or other person having legal control over the student files a written, current and unexpired request that the district provide for the catheterization of the student;</w:t>
      </w:r>
      <w:r>
        <w:br/>
        <w:t> </w:t>
      </w:r>
    </w:p>
    <w:p w14:paraId="63A38821" w14:textId="77777777" w:rsidR="00E31946" w:rsidRDefault="00E31946" w:rsidP="00E31946">
      <w:pPr>
        <w:numPr>
          <w:ilvl w:val="0"/>
          <w:numId w:val="1"/>
        </w:numPr>
      </w:pPr>
      <w:r>
        <w:rPr>
          <w:sz w:val="17"/>
          <w:szCs w:val="17"/>
        </w:rPr>
        <w:t>A licensed physician of the student files a written, current and unexpired request that catheterization of the student be provided for during the hours when school is in session or the hours when the student is under the supervision of school officials;</w:t>
      </w:r>
      <w:r>
        <w:br/>
        <w:t> </w:t>
      </w:r>
    </w:p>
    <w:p w14:paraId="13AA4391" w14:textId="77777777" w:rsidR="00E31946" w:rsidRDefault="00E31946" w:rsidP="00E31946">
      <w:pPr>
        <w:numPr>
          <w:ilvl w:val="0"/>
          <w:numId w:val="1"/>
        </w:numPr>
      </w:pPr>
      <w:r>
        <w:rPr>
          <w:sz w:val="17"/>
          <w:szCs w:val="17"/>
        </w:rPr>
        <w:t>A registered nurse provides written, current and unexpired instructions regarding catheterization that states which staff members are designated to provide for catheterization and a description of the nature and extent of any supervision that is required; and</w:t>
      </w:r>
      <w:r>
        <w:br/>
        <w:t> </w:t>
      </w:r>
    </w:p>
    <w:p w14:paraId="05EEC288" w14:textId="77777777" w:rsidR="00E31946" w:rsidRDefault="00E31946" w:rsidP="00E31946">
      <w:pPr>
        <w:numPr>
          <w:ilvl w:val="0"/>
          <w:numId w:val="1"/>
        </w:numPr>
      </w:pPr>
      <w:r>
        <w:rPr>
          <w:sz w:val="17"/>
          <w:szCs w:val="17"/>
        </w:rPr>
        <w:t>Any staff member who is authorized to provide for catheterization must receive training from a registered nurse consistent with the rules of the State Board of Nursing. Licensed practical nurses (LPNs) are trained to provide catheterization as part of their professional preparation and are not subject to this training requirement.</w:t>
      </w:r>
    </w:p>
    <w:p w14:paraId="33A99F5E" w14:textId="77777777" w:rsidR="00E31946" w:rsidRDefault="00E31946" w:rsidP="00E31946">
      <w:pPr>
        <w:pStyle w:val="NormalWeb"/>
      </w:pPr>
      <w:r>
        <w:t> </w:t>
      </w:r>
    </w:p>
    <w:p w14:paraId="0D53A953" w14:textId="77777777" w:rsidR="00E31946" w:rsidRDefault="00E31946" w:rsidP="00E31946">
      <w:pPr>
        <w:pStyle w:val="NormalWeb"/>
      </w:pPr>
      <w:r>
        <w:rPr>
          <w:sz w:val="17"/>
          <w:szCs w:val="17"/>
        </w:rPr>
        <w:t>Employees (excepting licensed nurses) who have not previously agreed in writing to perform clean, intermittent bladder catheterization as a specific part of their job description may file a written letter of refusal to perform catheterization.  The employee's refusal may not serve as grounds for discharge, nonrenewal or any other action adversely affecting the employee's contract status.  </w:t>
      </w:r>
    </w:p>
    <w:p w14:paraId="5D939643" w14:textId="77777777" w:rsidR="00E31946" w:rsidRDefault="00E31946" w:rsidP="00E31946">
      <w:pPr>
        <w:pStyle w:val="NormalWeb"/>
      </w:pPr>
      <w:r>
        <w:t> </w:t>
      </w:r>
    </w:p>
    <w:p w14:paraId="01F882A0" w14:textId="77777777" w:rsidR="00E31946" w:rsidRDefault="00E31946" w:rsidP="00E31946">
      <w:pPr>
        <w:pStyle w:val="NormalWeb"/>
      </w:pPr>
      <w:r>
        <w:rPr>
          <w:sz w:val="17"/>
          <w:szCs w:val="17"/>
        </w:rPr>
        <w:t>The district and its staff and the staff member who provides for catheterization in substantial compliance with this policy and the rules of the state board of nursing will not be liable in any criminal action or for civil damages arising from providing catheterization. The district may discontinue catheterization service for a student without being liable so long as the affected parents/guardians are given advance oral/written notice.</w:t>
      </w:r>
    </w:p>
    <w:p w14:paraId="35B7F863" w14:textId="77777777" w:rsidR="00E31946" w:rsidRDefault="00E31946" w:rsidP="00E31946">
      <w:pPr>
        <w:spacing w:after="240"/>
        <w:rPr>
          <w:rFonts w:ascii="Times New Roman" w:eastAsia="Times New Roman" w:hAnsi="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45"/>
        <w:gridCol w:w="4685"/>
      </w:tblGrid>
      <w:tr w:rsidR="00E31946" w14:paraId="11DBB754" w14:textId="77777777" w:rsidTr="0088779D">
        <w:trPr>
          <w:tblCellSpacing w:w="15" w:type="dxa"/>
        </w:trPr>
        <w:tc>
          <w:tcPr>
            <w:tcW w:w="4000" w:type="dxa"/>
            <w:vAlign w:val="center"/>
            <w:hideMark/>
          </w:tcPr>
          <w:p w14:paraId="6DC0B3A6" w14:textId="77777777" w:rsidR="00E31946" w:rsidRDefault="00E31946" w:rsidP="0088779D">
            <w:r>
              <w:t xml:space="preserve">Cross References: </w:t>
            </w:r>
          </w:p>
        </w:tc>
        <w:tc>
          <w:tcPr>
            <w:tcW w:w="0" w:type="auto"/>
            <w:vAlign w:val="center"/>
            <w:hideMark/>
          </w:tcPr>
          <w:p w14:paraId="14B8D54D" w14:textId="77777777" w:rsidR="00E31946" w:rsidRDefault="00E31946" w:rsidP="0088779D">
            <w:r>
              <w:t xml:space="preserve">2161 - Special Education and Related Services for Eligible Students </w:t>
            </w:r>
          </w:p>
        </w:tc>
      </w:tr>
      <w:tr w:rsidR="00E31946" w14:paraId="07022F2B" w14:textId="77777777" w:rsidTr="0088779D">
        <w:trPr>
          <w:tblCellSpacing w:w="15" w:type="dxa"/>
        </w:trPr>
        <w:tc>
          <w:tcPr>
            <w:tcW w:w="4000" w:type="dxa"/>
            <w:vAlign w:val="center"/>
            <w:hideMark/>
          </w:tcPr>
          <w:p w14:paraId="3514C884" w14:textId="77777777" w:rsidR="00E31946" w:rsidRDefault="00E31946" w:rsidP="0088779D"/>
        </w:tc>
        <w:tc>
          <w:tcPr>
            <w:tcW w:w="0" w:type="auto"/>
            <w:vAlign w:val="center"/>
            <w:hideMark/>
          </w:tcPr>
          <w:p w14:paraId="795D2FDD" w14:textId="77777777" w:rsidR="00E31946" w:rsidRDefault="00E31946" w:rsidP="0088779D"/>
        </w:tc>
      </w:tr>
    </w:tbl>
    <w:p w14:paraId="79D83E17" w14:textId="77777777" w:rsidR="00E31946" w:rsidRDefault="00E31946" w:rsidP="00E31946">
      <w:pPr>
        <w:spacing w:after="240"/>
        <w:rPr>
          <w:rFonts w:ascii="Times New Roman" w:eastAsia="Times New Roman" w:hAnsi="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45"/>
        <w:gridCol w:w="4685"/>
      </w:tblGrid>
      <w:tr w:rsidR="00E31946" w14:paraId="13B3AC21" w14:textId="77777777" w:rsidTr="0088779D">
        <w:trPr>
          <w:tblCellSpacing w:w="15" w:type="dxa"/>
        </w:trPr>
        <w:tc>
          <w:tcPr>
            <w:tcW w:w="4000" w:type="dxa"/>
            <w:vAlign w:val="center"/>
            <w:hideMark/>
          </w:tcPr>
          <w:p w14:paraId="77D2DE68" w14:textId="77777777" w:rsidR="00E31946" w:rsidRDefault="00E31946" w:rsidP="0088779D">
            <w:r>
              <w:t xml:space="preserve">Legal References: </w:t>
            </w:r>
          </w:p>
        </w:tc>
        <w:tc>
          <w:tcPr>
            <w:tcW w:w="0" w:type="auto"/>
            <w:vAlign w:val="center"/>
            <w:hideMark/>
          </w:tcPr>
          <w:p w14:paraId="6FAB24E7" w14:textId="77777777" w:rsidR="00E31946" w:rsidRDefault="00E31946" w:rsidP="0088779D">
            <w:r>
              <w:t xml:space="preserve">RCW 28A.210.255 Provision of health services in public and private schools — Employee job description </w:t>
            </w:r>
          </w:p>
        </w:tc>
      </w:tr>
      <w:tr w:rsidR="00E31946" w14:paraId="45D24806" w14:textId="77777777" w:rsidTr="0088779D">
        <w:trPr>
          <w:tblCellSpacing w:w="15" w:type="dxa"/>
        </w:trPr>
        <w:tc>
          <w:tcPr>
            <w:tcW w:w="4000" w:type="dxa"/>
            <w:vAlign w:val="center"/>
            <w:hideMark/>
          </w:tcPr>
          <w:p w14:paraId="6EDF2B5A" w14:textId="77777777" w:rsidR="00E31946" w:rsidRDefault="00E31946" w:rsidP="0088779D"/>
        </w:tc>
        <w:tc>
          <w:tcPr>
            <w:tcW w:w="0" w:type="auto"/>
            <w:vAlign w:val="center"/>
            <w:hideMark/>
          </w:tcPr>
          <w:p w14:paraId="028F12D6" w14:textId="77777777" w:rsidR="00E31946" w:rsidRDefault="00E31946" w:rsidP="0088779D">
            <w:r>
              <w:t xml:space="preserve">RCW 28A.210.280 Catheterization of public and private school students </w:t>
            </w:r>
          </w:p>
        </w:tc>
      </w:tr>
      <w:tr w:rsidR="00E31946" w14:paraId="3328EC87" w14:textId="77777777" w:rsidTr="0088779D">
        <w:trPr>
          <w:tblCellSpacing w:w="15" w:type="dxa"/>
        </w:trPr>
        <w:tc>
          <w:tcPr>
            <w:tcW w:w="4000" w:type="dxa"/>
            <w:vAlign w:val="center"/>
            <w:hideMark/>
          </w:tcPr>
          <w:p w14:paraId="2F21F56F" w14:textId="77777777" w:rsidR="00E31946" w:rsidRDefault="00E31946" w:rsidP="0088779D"/>
        </w:tc>
        <w:tc>
          <w:tcPr>
            <w:tcW w:w="0" w:type="auto"/>
            <w:vAlign w:val="center"/>
            <w:hideMark/>
          </w:tcPr>
          <w:p w14:paraId="44D17958" w14:textId="77777777" w:rsidR="00E31946" w:rsidRDefault="00E31946" w:rsidP="0088779D">
            <w:r>
              <w:t xml:space="preserve">RCW 28A.210.290 Catheterization of Public and Private School Students — Immunity from liability </w:t>
            </w:r>
          </w:p>
        </w:tc>
      </w:tr>
      <w:tr w:rsidR="00E31946" w14:paraId="70EC7C2A" w14:textId="77777777" w:rsidTr="0088779D">
        <w:trPr>
          <w:tblCellSpacing w:w="15" w:type="dxa"/>
        </w:trPr>
        <w:tc>
          <w:tcPr>
            <w:tcW w:w="4000" w:type="dxa"/>
            <w:vAlign w:val="center"/>
            <w:hideMark/>
          </w:tcPr>
          <w:p w14:paraId="4406BC6D" w14:textId="77777777" w:rsidR="00E31946" w:rsidRDefault="00E31946" w:rsidP="0088779D"/>
        </w:tc>
        <w:tc>
          <w:tcPr>
            <w:tcW w:w="0" w:type="auto"/>
            <w:vAlign w:val="center"/>
            <w:hideMark/>
          </w:tcPr>
          <w:p w14:paraId="51778314" w14:textId="77777777" w:rsidR="00E31946" w:rsidRDefault="00E31946" w:rsidP="0088779D">
            <w:r>
              <w:t xml:space="preserve">WAC 246-840-820 Provision for clean, </w:t>
            </w:r>
            <w:r>
              <w:lastRenderedPageBreak/>
              <w:t xml:space="preserve">intermittent catheterization in schools </w:t>
            </w:r>
          </w:p>
        </w:tc>
      </w:tr>
      <w:tr w:rsidR="00E31946" w14:paraId="7FA2D4A4" w14:textId="77777777" w:rsidTr="0088779D">
        <w:trPr>
          <w:tblCellSpacing w:w="15" w:type="dxa"/>
        </w:trPr>
        <w:tc>
          <w:tcPr>
            <w:tcW w:w="4000" w:type="dxa"/>
            <w:vAlign w:val="center"/>
            <w:hideMark/>
          </w:tcPr>
          <w:p w14:paraId="3B6458A9" w14:textId="77777777" w:rsidR="00E31946" w:rsidRDefault="00E31946" w:rsidP="0088779D"/>
        </w:tc>
        <w:tc>
          <w:tcPr>
            <w:tcW w:w="0" w:type="auto"/>
            <w:vAlign w:val="center"/>
            <w:hideMark/>
          </w:tcPr>
          <w:p w14:paraId="13AA198C" w14:textId="77777777" w:rsidR="00E31946" w:rsidRDefault="00E31946" w:rsidP="0088779D"/>
        </w:tc>
      </w:tr>
    </w:tbl>
    <w:p w14:paraId="24C48E0B" w14:textId="77777777" w:rsidR="00E31946" w:rsidRDefault="00E31946" w:rsidP="00E31946">
      <w:pPr>
        <w:spacing w:after="240"/>
        <w:rPr>
          <w:rFonts w:ascii="Times New Roman" w:eastAsia="Times New Roman" w:hAnsi="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45"/>
        <w:gridCol w:w="2444"/>
      </w:tblGrid>
      <w:tr w:rsidR="00E31946" w14:paraId="5FF62209" w14:textId="77777777" w:rsidTr="0088779D">
        <w:trPr>
          <w:tblCellSpacing w:w="15" w:type="dxa"/>
        </w:trPr>
        <w:tc>
          <w:tcPr>
            <w:tcW w:w="4000" w:type="dxa"/>
            <w:vAlign w:val="center"/>
            <w:hideMark/>
          </w:tcPr>
          <w:p w14:paraId="2389F638" w14:textId="77777777" w:rsidR="00E31946" w:rsidRDefault="00E31946" w:rsidP="0088779D">
            <w:r>
              <w:t xml:space="preserve">Management Resources: </w:t>
            </w:r>
          </w:p>
        </w:tc>
        <w:tc>
          <w:tcPr>
            <w:tcW w:w="0" w:type="auto"/>
            <w:vAlign w:val="center"/>
            <w:hideMark/>
          </w:tcPr>
          <w:p w14:paraId="7EB77AFC" w14:textId="77777777" w:rsidR="00E31946" w:rsidRDefault="00E31946" w:rsidP="0088779D">
            <w:r>
              <w:t xml:space="preserve">2014 - December Issue </w:t>
            </w:r>
          </w:p>
        </w:tc>
      </w:tr>
      <w:tr w:rsidR="00E31946" w14:paraId="6F63737E" w14:textId="77777777" w:rsidTr="0088779D">
        <w:trPr>
          <w:tblCellSpacing w:w="15" w:type="dxa"/>
        </w:trPr>
        <w:tc>
          <w:tcPr>
            <w:tcW w:w="4000" w:type="dxa"/>
            <w:vAlign w:val="center"/>
            <w:hideMark/>
          </w:tcPr>
          <w:p w14:paraId="0084A34B" w14:textId="77777777" w:rsidR="00E31946" w:rsidRDefault="00E31946" w:rsidP="0088779D"/>
        </w:tc>
        <w:tc>
          <w:tcPr>
            <w:tcW w:w="0" w:type="auto"/>
            <w:vAlign w:val="center"/>
            <w:hideMark/>
          </w:tcPr>
          <w:p w14:paraId="7B79168F" w14:textId="77777777" w:rsidR="00E31946" w:rsidRDefault="00E31946" w:rsidP="0088779D">
            <w:r>
              <w:t xml:space="preserve">2003 - December Issue </w:t>
            </w:r>
          </w:p>
        </w:tc>
      </w:tr>
      <w:tr w:rsidR="00E31946" w14:paraId="2F9D8128" w14:textId="77777777" w:rsidTr="0088779D">
        <w:trPr>
          <w:tblCellSpacing w:w="15" w:type="dxa"/>
        </w:trPr>
        <w:tc>
          <w:tcPr>
            <w:tcW w:w="4000" w:type="dxa"/>
            <w:vAlign w:val="center"/>
            <w:hideMark/>
          </w:tcPr>
          <w:p w14:paraId="5552A4C7" w14:textId="77777777" w:rsidR="00E31946" w:rsidRDefault="00E31946" w:rsidP="0088779D"/>
        </w:tc>
        <w:tc>
          <w:tcPr>
            <w:tcW w:w="0" w:type="auto"/>
            <w:vAlign w:val="center"/>
            <w:hideMark/>
          </w:tcPr>
          <w:p w14:paraId="5E8857CF" w14:textId="77777777" w:rsidR="00E31946" w:rsidRDefault="00E31946" w:rsidP="0088779D">
            <w:r>
              <w:t xml:space="preserve">2003 - June Issue </w:t>
            </w:r>
          </w:p>
        </w:tc>
      </w:tr>
      <w:tr w:rsidR="00E31946" w14:paraId="13283110" w14:textId="77777777" w:rsidTr="0088779D">
        <w:trPr>
          <w:tblCellSpacing w:w="15" w:type="dxa"/>
        </w:trPr>
        <w:tc>
          <w:tcPr>
            <w:tcW w:w="4000" w:type="dxa"/>
            <w:vAlign w:val="center"/>
            <w:hideMark/>
          </w:tcPr>
          <w:p w14:paraId="4870B705" w14:textId="77777777" w:rsidR="00E31946" w:rsidRDefault="00E31946" w:rsidP="0088779D"/>
        </w:tc>
        <w:tc>
          <w:tcPr>
            <w:tcW w:w="0" w:type="auto"/>
            <w:vAlign w:val="center"/>
            <w:hideMark/>
          </w:tcPr>
          <w:p w14:paraId="272A0C57" w14:textId="77777777" w:rsidR="00E31946" w:rsidRDefault="00E31946" w:rsidP="0088779D"/>
        </w:tc>
      </w:tr>
    </w:tbl>
    <w:p w14:paraId="07EEE2EC" w14:textId="77777777" w:rsidR="00E31946" w:rsidRDefault="00E31946" w:rsidP="00E31946">
      <w:pPr>
        <w:spacing w:after="240"/>
        <w:rPr>
          <w:rFonts w:ascii="Times New Roman" w:eastAsia="Times New Roman" w:hAnsi="Times New Roman"/>
          <w:szCs w:val="20"/>
        </w:rPr>
      </w:pPr>
    </w:p>
    <w:p w14:paraId="72841C5F" w14:textId="77777777" w:rsidR="00E31946" w:rsidRDefault="00E31946" w:rsidP="00E31946">
      <w:pPr>
        <w:pStyle w:val="NormalWeb"/>
      </w:pPr>
      <w:r>
        <w:t xml:space="preserve">Adoption Date: </w:t>
      </w:r>
      <w:r w:rsidR="002D11CC">
        <w:t>7/16/2018</w:t>
      </w:r>
      <w:bookmarkStart w:id="0" w:name="_GoBack"/>
      <w:bookmarkEnd w:id="0"/>
      <w:r>
        <w:br/>
        <w:t xml:space="preserve">Classification: </w:t>
      </w:r>
      <w:r>
        <w:rPr>
          <w:b/>
          <w:bCs/>
        </w:rPr>
        <w:t>Essential</w:t>
      </w:r>
      <w:r>
        <w:br/>
        <w:t xml:space="preserve">Revised Dates: </w:t>
      </w:r>
      <w:r>
        <w:rPr>
          <w:b/>
          <w:bCs/>
        </w:rPr>
        <w:t>04.02; 06.03; 12.03; 12.11; 12.14</w:t>
      </w:r>
    </w:p>
    <w:p w14:paraId="514161E5" w14:textId="77777777" w:rsidR="00E31946" w:rsidRDefault="00E31946" w:rsidP="00E31946">
      <w:pPr>
        <w:rPr>
          <w:rFonts w:ascii="Times New Roman" w:eastAsia="Times New Roman" w:hAnsi="Times New Roman"/>
          <w:szCs w:val="20"/>
        </w:rPr>
      </w:pPr>
    </w:p>
    <w:p w14:paraId="545571EC" w14:textId="77777777" w:rsidR="00E31946" w:rsidRDefault="002D11CC" w:rsidP="00E31946">
      <w:pPr>
        <w:rPr>
          <w:rFonts w:ascii="Times New Roman" w:eastAsia="Times New Roman" w:hAnsi="Times New Roman"/>
          <w:szCs w:val="20"/>
        </w:rPr>
      </w:pPr>
      <w:r>
        <w:rPr>
          <w:rFonts w:ascii="Times New Roman" w:eastAsia="Times New Roman" w:hAnsi="Times New Roman"/>
          <w:szCs w:val="20"/>
        </w:rPr>
        <w:pict w14:anchorId="06DB61D0">
          <v:rect id="_x0000_i1026" style="width:0;height:1.5pt" o:hralign="center" o:hrstd="t" o:hr="t" fillcolor="#aaa" stroked="f"/>
        </w:pict>
      </w:r>
    </w:p>
    <w:p w14:paraId="6D003B81" w14:textId="77777777" w:rsidR="00E31946" w:rsidRDefault="00E31946" w:rsidP="00E31946">
      <w:pPr>
        <w:pStyle w:val="NormalWeb"/>
        <w:rPr>
          <w:color w:val="999999"/>
        </w:rPr>
      </w:pPr>
      <w:r>
        <w:rPr>
          <w:color w:val="999999"/>
        </w:rPr>
        <w:t>© 2014-2018 Washington State School Directors' Association. All rights reserved.</w:t>
      </w:r>
    </w:p>
    <w:p w14:paraId="3CF7BCB9" w14:textId="77777777" w:rsidR="00FA162A" w:rsidRDefault="00FA162A"/>
    <w:sectPr w:rsidR="00FA16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506D1"/>
    <w:multiLevelType w:val="multilevel"/>
    <w:tmpl w:val="6DC830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46"/>
    <w:rsid w:val="002D11CC"/>
    <w:rsid w:val="00DC0050"/>
    <w:rsid w:val="00E31946"/>
    <w:rsid w:val="00FA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2D815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46"/>
    <w:rPr>
      <w:rFonts w:ascii="Verdana" w:eastAsia="Verdana" w:hAnsi="Verdana"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sid w:val="00E31946"/>
    <w:rPr>
      <w:rFonts w:ascii="Verdana" w:eastAsia="Verdana" w:hAnsi="Verdana" w:cs="Times New Roman"/>
      <w:sz w:val="2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46"/>
    <w:rPr>
      <w:rFonts w:ascii="Verdana" w:eastAsia="Verdana" w:hAnsi="Verdana"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sid w:val="00E31946"/>
    <w:rPr>
      <w:rFonts w:ascii="Verdana" w:eastAsia="Verdana" w:hAnsi="Verdana" w:cs="Times New Roman"/>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2447</Characters>
  <Application>Microsoft Macintosh Word</Application>
  <DocSecurity>0</DocSecurity>
  <Lines>47</Lines>
  <Paragraphs>12</Paragraphs>
  <ScaleCrop>false</ScaleCrop>
  <Company>Carbonado School District</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2</cp:revision>
  <cp:lastPrinted>2018-07-16T14:00:00Z</cp:lastPrinted>
  <dcterms:created xsi:type="dcterms:W3CDTF">2018-07-03T17:06:00Z</dcterms:created>
  <dcterms:modified xsi:type="dcterms:W3CDTF">2018-07-16T14:02:00Z</dcterms:modified>
</cp:coreProperties>
</file>